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0B" w:rsidRDefault="0045260B" w:rsidP="0045260B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5AAF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E054DD" w:rsidRPr="00A85AAF" w:rsidRDefault="00E054DD" w:rsidP="0045260B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45260B" w:rsidRPr="0045260B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260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260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6B03104</w:t>
      </w:r>
      <w:r w:rsidRPr="00A85AA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-халықаралық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қатынастар</w:t>
      </w:r>
      <w:r w:rsidRPr="00A85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45260B" w:rsidRPr="00A85AAF" w:rsidRDefault="0045260B" w:rsidP="00452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A85AA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45260B" w:rsidRPr="00A85AAF" w:rsidRDefault="00146FAE" w:rsidP="00452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ShT 1124</w:t>
      </w:r>
      <w:r w:rsidR="0045260B" w:rsidRPr="00A85A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5260B" w:rsidRPr="00A85AAF">
        <w:rPr>
          <w:rFonts w:ascii="Times New Roman" w:hAnsi="Times New Roman" w:cs="Times New Roman"/>
          <w:bCs/>
          <w:sz w:val="24"/>
          <w:szCs w:val="24"/>
          <w:lang w:val="kk-KZ"/>
        </w:rPr>
        <w:t>–</w:t>
      </w:r>
      <w:r w:rsidR="0045260B" w:rsidRPr="00A85A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5260B">
        <w:rPr>
          <w:rFonts w:ascii="Times New Roman" w:hAnsi="Times New Roman" w:cs="Times New Roman"/>
          <w:sz w:val="24"/>
          <w:szCs w:val="24"/>
          <w:lang w:val="kk-KZ"/>
        </w:rPr>
        <w:t xml:space="preserve">Шетел тілі </w:t>
      </w:r>
      <w:r w:rsidR="0045260B" w:rsidRPr="00A85AA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2019-2020 оқу жылының </w:t>
      </w:r>
      <w:r w:rsidRPr="00A85AAF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к</w:t>
      </w:r>
      <w:r w:rsidR="00803232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өктемгі</w:t>
      </w:r>
      <w:r w:rsidRPr="00A85AAF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</w:t>
      </w:r>
      <w:r w:rsidRPr="00A85AA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семестрі</w:t>
      </w:r>
    </w:p>
    <w:p w:rsidR="0045260B" w:rsidRPr="00A85AAF" w:rsidRDefault="0045260B" w:rsidP="0045260B">
      <w:pPr>
        <w:tabs>
          <w:tab w:val="left" w:pos="2910"/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sz w:val="24"/>
          <w:szCs w:val="24"/>
          <w:lang w:val="kk-KZ"/>
        </w:rPr>
        <w:t>Курс жайында академиялық мәлімет</w:t>
      </w:r>
    </w:p>
    <w:tbl>
      <w:tblPr>
        <w:tblW w:w="97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46"/>
        <w:gridCol w:w="850"/>
        <w:gridCol w:w="1134"/>
        <w:gridCol w:w="851"/>
        <w:gridCol w:w="850"/>
        <w:gridCol w:w="1276"/>
        <w:gridCol w:w="953"/>
      </w:tblGrid>
      <w:tr w:rsidR="0045260B" w:rsidRPr="008A4F29" w:rsidTr="00F83958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F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F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DB7231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DB7231" w:rsidP="00DB7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45260B" w:rsidRPr="008A4F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45260B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F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146FAE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</w:t>
            </w:r>
          </w:p>
        </w:tc>
      </w:tr>
      <w:tr w:rsidR="0045260B" w:rsidRPr="00A85AAF" w:rsidTr="00F83958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F29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DB7231" w:rsidP="008A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8A4F29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4F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260B" w:rsidRPr="00A85AAF" w:rsidTr="00F8395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146FAE" w:rsidRDefault="00146FAE" w:rsidP="00F839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ShT 1124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146FAE" w:rsidRDefault="00146FAE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 тілі 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DB7231" w:rsidRDefault="00861785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DB7231" w:rsidRDefault="00AC2A35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0A1158" w:rsidRDefault="0045260B" w:rsidP="000A115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861785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617E6E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5260B" w:rsidRPr="00A85AAF" w:rsidTr="00F8395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Оқытушы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925E42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Муртаза Алма Шерхановна</w:t>
            </w:r>
            <w:r w:rsidR="0045260B"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5260B" w:rsidRPr="00A85AAF" w:rsidTr="00F8395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D24EC1" w:rsidP="00F8395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Murtaza.alma@mail.ru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60B" w:rsidRPr="00A85AAF" w:rsidRDefault="0045260B" w:rsidP="00F8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260B" w:rsidRPr="00A85AAF" w:rsidTr="00F8395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3079B8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Р.т.</w:t>
            </w:r>
            <w:r w:rsidR="000A115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1781;сот.87018423171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45260B" w:rsidP="00F83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925E42" w:rsidP="00F8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107</w:t>
            </w:r>
          </w:p>
        </w:tc>
      </w:tr>
    </w:tbl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831"/>
      </w:tblGrid>
      <w:tr w:rsidR="0045260B" w:rsidRPr="00A14FA5" w:rsidTr="00F8395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FA5" w:rsidRDefault="00A14FA5" w:rsidP="00A14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мақсаты:</w:t>
            </w:r>
            <w:r w:rsidRPr="00876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4FA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студенттердің кәсіби қызмет барысында бір нәрсені жасай алуға бағытталған дағдылар</w:t>
            </w:r>
            <w:r w:rsidRPr="00A14F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 </w:t>
            </w:r>
            <w:r w:rsidRPr="00A14FA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қабілеттіліктерді қалыптастыру.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14F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меңгеру нәтижесінде студент келесі қабілеттіліктерге ие болады: </w:t>
            </w:r>
          </w:p>
          <w:p w:rsidR="00A14FA5" w:rsidRPr="00A14FA5" w:rsidRDefault="00A14FA5" w:rsidP="00A14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FA5" w:rsidRPr="00A14FA5" w:rsidRDefault="00A14FA5" w:rsidP="00A14FA5">
            <w:pPr>
              <w:pStyle w:val="Default"/>
              <w:rPr>
                <w:color w:val="FF0000"/>
                <w:lang w:val="kk-KZ"/>
              </w:rPr>
            </w:pPr>
            <w:r w:rsidRPr="00876000">
              <w:rPr>
                <w:lang w:val="kk-KZ"/>
              </w:rPr>
              <w:t xml:space="preserve">1. </w:t>
            </w:r>
            <w:r>
              <w:rPr>
                <w:color w:val="FF0000"/>
                <w:lang w:val="kk-KZ"/>
              </w:rPr>
              <w:t>Түсіну</w:t>
            </w:r>
            <w:r w:rsidRPr="00A14FA5">
              <w:rPr>
                <w:color w:val="FF0000"/>
                <w:lang w:val="kk-KZ"/>
              </w:rPr>
              <w:t xml:space="preserve">/ </w:t>
            </w:r>
            <w:r>
              <w:rPr>
                <w:color w:val="FF0000"/>
                <w:lang w:val="kk-KZ"/>
              </w:rPr>
              <w:t>Сипаттау</w:t>
            </w:r>
            <w:r w:rsidRPr="00A14FA5">
              <w:rPr>
                <w:color w:val="FF0000"/>
                <w:lang w:val="kk-KZ"/>
              </w:rPr>
              <w:t xml:space="preserve">/     </w:t>
            </w:r>
            <w:r>
              <w:rPr>
                <w:color w:val="FF0000"/>
                <w:lang w:val="kk-KZ"/>
              </w:rPr>
              <w:t>Түсіндіру</w:t>
            </w:r>
            <w:r w:rsidRPr="00A14FA5">
              <w:rPr>
                <w:color w:val="FF0000"/>
                <w:lang w:val="kk-KZ"/>
              </w:rPr>
              <w:t xml:space="preserve">/ </w:t>
            </w:r>
            <w:r>
              <w:rPr>
                <w:color w:val="FF0000"/>
                <w:lang w:val="kk-KZ"/>
              </w:rPr>
              <w:t>Ажырату</w:t>
            </w:r>
            <w:r w:rsidRPr="00A14FA5">
              <w:rPr>
                <w:color w:val="FF0000"/>
                <w:lang w:val="kk-KZ"/>
              </w:rPr>
              <w:t xml:space="preserve"> ....... ; </w:t>
            </w:r>
          </w:p>
          <w:p w:rsidR="00A14FA5" w:rsidRPr="00A14FA5" w:rsidRDefault="00A14FA5" w:rsidP="00A14FA5">
            <w:pPr>
              <w:pStyle w:val="Default"/>
              <w:rPr>
                <w:color w:val="FF0000"/>
                <w:lang w:val="kk-KZ"/>
              </w:rPr>
            </w:pPr>
            <w:r w:rsidRPr="00A14FA5">
              <w:rPr>
                <w:color w:val="auto"/>
                <w:lang w:val="kk-KZ"/>
              </w:rPr>
              <w:t>2.</w:t>
            </w:r>
            <w:r w:rsidRPr="00A14FA5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>Аудару</w:t>
            </w:r>
            <w:r w:rsidRPr="00A14FA5">
              <w:rPr>
                <w:color w:val="FF0000"/>
                <w:lang w:val="kk-KZ"/>
              </w:rPr>
              <w:t xml:space="preserve">/  </w:t>
            </w:r>
            <w:r>
              <w:rPr>
                <w:color w:val="FF0000"/>
                <w:lang w:val="kk-KZ"/>
              </w:rPr>
              <w:t>Анықтау</w:t>
            </w:r>
            <w:r w:rsidRPr="00A14FA5">
              <w:rPr>
                <w:color w:val="FF0000"/>
                <w:lang w:val="kk-KZ"/>
              </w:rPr>
              <w:t xml:space="preserve">  ........; </w:t>
            </w:r>
          </w:p>
          <w:p w:rsidR="00A14FA5" w:rsidRPr="00A14FA5" w:rsidRDefault="00A14FA5" w:rsidP="00A14FA5">
            <w:pPr>
              <w:pStyle w:val="Default"/>
              <w:rPr>
                <w:color w:val="FF0000"/>
                <w:lang w:val="kk-KZ"/>
              </w:rPr>
            </w:pPr>
            <w:r w:rsidRPr="00A14FA5">
              <w:rPr>
                <w:color w:val="auto"/>
                <w:lang w:val="kk-KZ"/>
              </w:rPr>
              <w:t>3.</w:t>
            </w:r>
            <w:r w:rsidRPr="00A14FA5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>Қолдану</w:t>
            </w:r>
            <w:r w:rsidRPr="00A14FA5">
              <w:rPr>
                <w:color w:val="FF0000"/>
                <w:lang w:val="kk-KZ"/>
              </w:rPr>
              <w:t>/</w:t>
            </w:r>
            <w:r>
              <w:rPr>
                <w:color w:val="FF0000"/>
                <w:lang w:val="kk-KZ"/>
              </w:rPr>
              <w:t>Пайдалану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Жүзеге асыру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шет тілінің базалық деңгейінде қарым</w:t>
            </w:r>
            <w:r w:rsidRPr="00A14FA5">
              <w:rPr>
                <w:color w:val="FF0000"/>
                <w:lang w:val="kk-KZ"/>
              </w:rPr>
              <w:t>-</w:t>
            </w:r>
            <w:r>
              <w:rPr>
                <w:color w:val="FF0000"/>
                <w:lang w:val="kk-KZ"/>
              </w:rPr>
              <w:t>қатынас орната алу</w:t>
            </w:r>
            <w:r w:rsidRPr="00A14FA5">
              <w:rPr>
                <w:color w:val="FF0000"/>
                <w:lang w:val="kk-KZ"/>
              </w:rPr>
              <w:t xml:space="preserve">.......;  </w:t>
            </w:r>
          </w:p>
          <w:p w:rsidR="00A14FA5" w:rsidRPr="00A14FA5" w:rsidRDefault="00A14FA5" w:rsidP="00A14FA5">
            <w:pPr>
              <w:pStyle w:val="Default"/>
              <w:rPr>
                <w:color w:val="FF0000"/>
                <w:lang w:val="kk-KZ"/>
              </w:rPr>
            </w:pPr>
            <w:r w:rsidRPr="00A14FA5">
              <w:rPr>
                <w:color w:val="auto"/>
                <w:lang w:val="kk-KZ"/>
              </w:rPr>
              <w:t>4.</w:t>
            </w:r>
            <w:r w:rsidRPr="00A14FA5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>Сөйлеу әрекетінің барлық аспектілері бойынша негізгі дағдыларды қалыптастыру</w:t>
            </w:r>
            <w:r w:rsidRPr="00A14FA5">
              <w:rPr>
                <w:color w:val="FF0000"/>
                <w:lang w:val="kk-KZ"/>
              </w:rPr>
              <w:t>.... ;</w:t>
            </w:r>
          </w:p>
          <w:p w:rsidR="00A14FA5" w:rsidRPr="00A14FA5" w:rsidRDefault="00A14FA5" w:rsidP="00A14FA5">
            <w:pPr>
              <w:pStyle w:val="Default"/>
              <w:rPr>
                <w:color w:val="FF0000"/>
                <w:lang w:val="kk-KZ"/>
              </w:rPr>
            </w:pPr>
            <w:r w:rsidRPr="00A14FA5">
              <w:rPr>
                <w:color w:val="auto"/>
                <w:lang w:val="kk-KZ"/>
              </w:rPr>
              <w:t>5.</w:t>
            </w:r>
            <w:r w:rsidR="00833921">
              <w:rPr>
                <w:color w:val="FF0000"/>
                <w:lang w:val="kk-KZ"/>
              </w:rPr>
              <w:t>Тал</w:t>
            </w:r>
            <w:r>
              <w:rPr>
                <w:color w:val="FF0000"/>
                <w:lang w:val="kk-KZ"/>
              </w:rPr>
              <w:t>дау</w:t>
            </w:r>
            <w:r w:rsidRPr="00A14FA5">
              <w:rPr>
                <w:color w:val="FF0000"/>
                <w:lang w:val="kk-KZ"/>
              </w:rPr>
              <w:t xml:space="preserve">/ </w:t>
            </w:r>
            <w:r>
              <w:rPr>
                <w:color w:val="FF0000"/>
                <w:lang w:val="kk-KZ"/>
              </w:rPr>
              <w:t>Сынау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Түсінік беру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Кеңес беру, ұсыну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Талқылау</w:t>
            </w:r>
            <w:r w:rsidRPr="00A14FA5">
              <w:rPr>
                <w:color w:val="FF0000"/>
                <w:lang w:val="kk-KZ"/>
              </w:rPr>
              <w:t xml:space="preserve">/ </w:t>
            </w:r>
            <w:r>
              <w:rPr>
                <w:color w:val="FF0000"/>
                <w:lang w:val="kk-KZ"/>
              </w:rPr>
              <w:t>Қайта қарап шығу</w:t>
            </w:r>
            <w:r w:rsidRPr="00A14FA5">
              <w:rPr>
                <w:color w:val="FF0000"/>
                <w:lang w:val="kk-KZ"/>
              </w:rPr>
              <w:t xml:space="preserve"> / </w:t>
            </w:r>
            <w:r>
              <w:rPr>
                <w:color w:val="FF0000"/>
                <w:lang w:val="kk-KZ"/>
              </w:rPr>
              <w:t>Тексеру</w:t>
            </w:r>
            <w:r w:rsidRPr="00A14FA5">
              <w:rPr>
                <w:color w:val="FF0000"/>
                <w:lang w:val="kk-KZ"/>
              </w:rPr>
              <w:t xml:space="preserve"> .....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260B" w:rsidRPr="004C5496" w:rsidTr="00F8395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</w:p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Постреквизит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A85AAF" w:rsidRDefault="004C5496" w:rsidP="00F8395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85AAF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  <w:t>Жоқ</w:t>
            </w:r>
            <w:r w:rsidR="0045260B" w:rsidRPr="00A85AAF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  <w:t>;</w:t>
            </w:r>
          </w:p>
          <w:p w:rsidR="0045260B" w:rsidRPr="00A85AAF" w:rsidRDefault="004C5496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val="kk-KZ"/>
              </w:rPr>
              <w:t xml:space="preserve">Дипломатиялық және іскерлік келіссөздердің шетел тілі (бірінші шетел тілі) 1 бөлім  </w:t>
            </w:r>
          </w:p>
        </w:tc>
      </w:tr>
      <w:tr w:rsidR="0045260B" w:rsidRPr="00A85AAF" w:rsidTr="00F8395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мен қайнар-көздер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0B" w:rsidRPr="00FC009C" w:rsidRDefault="00FC009C" w:rsidP="003349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A0443B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итература:</w:t>
            </w:r>
          </w:p>
          <w:p w:rsidR="00C97A22" w:rsidRPr="00C97A22" w:rsidRDefault="003349B5" w:rsidP="003349B5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="000525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New </w:t>
            </w:r>
            <w:proofErr w:type="spellStart"/>
            <w:r w:rsidR="000525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English</w:t>
            </w:r>
            <w:proofErr w:type="spellEnd"/>
            <w:r w:rsidR="000525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525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File</w:t>
            </w:r>
            <w:r w:rsidR="0080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,intermediate</w:t>
            </w:r>
            <w:proofErr w:type="spellEnd"/>
            <w:r w:rsidR="0080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0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student's</w:t>
            </w:r>
            <w:proofErr w:type="spellEnd"/>
            <w:r w:rsidR="0080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0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book,</w:t>
            </w:r>
            <w:r w:rsidR="0087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Clive</w:t>
            </w:r>
            <w:proofErr w:type="spellEnd"/>
            <w:r w:rsidR="0087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7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Oxenden,Christina</w:t>
            </w:r>
            <w:proofErr w:type="spellEnd"/>
            <w:r w:rsidR="0087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74D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Lathan-Koenig</w:t>
            </w:r>
            <w:proofErr w:type="spellEnd"/>
          </w:p>
          <w:p w:rsidR="0045260B" w:rsidRPr="00A85AAF" w:rsidRDefault="009D79B6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2.The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Selfish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Giant,</w:t>
            </w:r>
            <w:r w:rsidR="00210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Oscar</w:t>
            </w:r>
            <w:proofErr w:type="spellEnd"/>
            <w:r w:rsidR="00210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324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Wilde</w:t>
            </w:r>
            <w:proofErr w:type="spellEnd"/>
          </w:p>
          <w:p w:rsidR="0045260B" w:rsidRDefault="006A7D3B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3.Art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of</w:t>
            </w:r>
            <w:proofErr w:type="spellEnd"/>
            <w:r w:rsidR="00C329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diplomacy</w:t>
            </w:r>
            <w:r w:rsidR="002C7A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.Я</w:t>
            </w:r>
            <w:r w:rsidR="00D72A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ницкая,2006г.</w:t>
            </w:r>
          </w:p>
          <w:p w:rsidR="00D72AA7" w:rsidRDefault="00D72AA7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297C" w:rsidRPr="00A85AAF" w:rsidRDefault="00C3297C" w:rsidP="00F839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</w:t>
            </w:r>
            <w:r w:rsidR="009F00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 </w:t>
            </w:r>
            <w:proofErr w:type="spellStart"/>
            <w:r w:rsidR="009F00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weekly</w:t>
            </w:r>
            <w:proofErr w:type="spellEnd"/>
            <w:r w:rsidR="009F00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F00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standart</w:t>
            </w:r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.Journal</w:t>
            </w:r>
            <w:proofErr w:type="spellEnd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for</w:t>
            </w:r>
            <w:proofErr w:type="spellEnd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international</w:t>
            </w:r>
            <w:proofErr w:type="spellEnd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relations</w:t>
            </w:r>
            <w:proofErr w:type="spellEnd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67E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students</w:t>
            </w:r>
            <w:proofErr w:type="spellEnd"/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260B" w:rsidRPr="0045260B" w:rsidTr="00F8395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EF173D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7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академиялықсаясаты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A85AAF">
              <w:rPr>
                <w:rFonts w:ascii="Times New Roman" w:hAnsi="Times New Roman" w:cs="Times New Roman"/>
                <w:b/>
                <w:sz w:val="24"/>
                <w:szCs w:val="24"/>
              </w:rPr>
              <w:t>кадеми</w:t>
            </w:r>
            <w:proofErr w:type="spellEnd"/>
            <w:r w:rsidRPr="00A85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жүріс-тұрыс ережесі</w:t>
            </w:r>
            <w:r w:rsidRPr="00A85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45260B" w:rsidRPr="00A85AAF" w:rsidRDefault="0045260B" w:rsidP="00F8395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міндетті түрде қатысу, сабақтан кешікпеу.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себептерге байланысты сабаққа қатыспағаны үшін </w:t>
            </w:r>
            <w:r w:rsidRPr="0045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  <w:r w:rsidRPr="0045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белгіленіп</w:t>
            </w:r>
            <w:r w:rsidRPr="0045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 кестесіне сәйкес өтеу жұмыстарын тапсыру және академиялық қарыздарын жою мүмкіндігі беріледі. Білім алушының оқытушыны алдын ала ескертпегені немесе негізсіз себептерге байланысты сабақтан қалғаны және сабаққа кешігіп келгені үшін</w:t>
            </w:r>
            <w:r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"Универ" Жүйесінде түзетуге берілетін мүмкіндіксіз 0 балл қойылады. </w:t>
            </w:r>
            <w:r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сабаққа төменде көрсетілген кестеге сәйкес алдын ала дайындалу керек. Тапсырмаларды орындау үдерісі берліген тақырып талқыланатын аудиториялық сабаққа дейін аяқталу керек.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СӨЖ тапсырмалары пән кестесінде көрсетілгендей семестр уақытына бөлініп беріледі. Білім алушының өздік жұмысы </w:t>
            </w:r>
            <w:r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коллоквиум/ жоба / эссе /лексико-грамматикалық тест ...... түрінде жүргізіледі. 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тапсырмаларына қойылатын нақты талаптар аудиториялық сабақта беріледі. Білім алушы барлық тапсырманы орындап, оқытушыға көрсетілген мерзімде тапсыруы қажет. Тапсырмалар </w:t>
            </w:r>
            <w:r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аралас түрде орындалуы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қажет. 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тұтастық: тапсырмаларды өз бетінше орындау; плагиат пен жалғандықты болдырмау, шпаргалка пайдаланбау, білімді бақылаудың барлық деңгейлері мен түрлерінен өту барысында көшіру, оқытушыны алдау немесе сыйламау және т.с.с. академиялық нормаларды бұзушылыққа жол бермеу ( ҚАЗҰУ студентінің</w:t>
            </w:r>
          </w:p>
          <w:p w:rsidR="0045260B" w:rsidRPr="00A85AAF" w:rsidRDefault="0045260B" w:rsidP="00F8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Ар-намыс кодексі). </w:t>
            </w:r>
          </w:p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Мүмкіншілігі шектеулі білім алушылар жоғарыда көрсетілген 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телефон нөмірі арқылы кеңес беру көмегіне жүгіне алады.</w:t>
            </w:r>
          </w:p>
        </w:tc>
      </w:tr>
      <w:tr w:rsidR="0045260B" w:rsidRPr="0045260B" w:rsidTr="00F83958"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 қою саясаты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60B" w:rsidRPr="00A85AAF" w:rsidRDefault="0045260B" w:rsidP="00F8395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оқудағы жетістіктерінің деңгейі рұқсат алу рейтингілік бағадан (60%) және емтихан бағасынан (40%) қалыптасқан қорытынды бағамен анықталады.  Ағымдағы аралық бақылау </w:t>
            </w:r>
            <w:r w:rsidRPr="00A85AAF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(АБ1, АБ2, АБ3) 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қойылатын қорытынды баға 100-баллдық шкаламен бағаланады, яғни, практикалық тапсырмаларды орындағаны үшін </w:t>
            </w:r>
            <w:r w:rsidRPr="00A85AAF">
              <w:rPr>
                <w:rStyle w:val="a4"/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60 балл</w:t>
            </w:r>
            <w:r w:rsidRPr="00A85AAF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белгіленген мерзімде орындаған СӨЖ үшін </w:t>
            </w:r>
            <w:r w:rsidRPr="00A85AA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40 балл</w:t>
            </w: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 Пән бойынша қорытынды баға (ҚБ) білім алушының аралық бақылаумен қатар (АБ1, АБ2, АБ3) қорытынды бақылауда (ҚБ) алған оң бағасы болған жағдайда ғана  келесі формула арқылы есептеледі:</w:t>
            </w:r>
          </w:p>
          <w:p w:rsidR="0045260B" w:rsidRPr="00A85AAF" w:rsidRDefault="0045260B" w:rsidP="00F8395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60B" w:rsidRPr="00A85AAF" w:rsidRDefault="0045260B" w:rsidP="00F8395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A85AA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Қорытынды баға = (АБ1 + АБ2 (МТ) + АБ3)/3 * 0,6 + Е* 0,4  </w:t>
            </w:r>
          </w:p>
          <w:p w:rsidR="0045260B" w:rsidRPr="00A85AAF" w:rsidRDefault="0045260B" w:rsidP="00F8395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260B" w:rsidRPr="00A85AAF" w:rsidRDefault="0045260B" w:rsidP="00F83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үлгерімі және сабаққа қатысу бойынша жиынтық рейтингтік баға  оқытушы тарапынан "Универ" Жүйесіне әр аптаның соңында қойлады.   </w:t>
            </w:r>
          </w:p>
        </w:tc>
      </w:tr>
    </w:tbl>
    <w:p w:rsidR="0045260B" w:rsidRPr="00A85AAF" w:rsidRDefault="0045260B" w:rsidP="0045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саясаты:</w:t>
      </w:r>
    </w:p>
    <w:p w:rsidR="0045260B" w:rsidRPr="00A85AAF" w:rsidRDefault="0045260B" w:rsidP="00452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4C5496" w:rsidRPr="004C5496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4C5496" w:rsidRDefault="004C5496" w:rsidP="00F8395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4C549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4C5496" w:rsidRDefault="004C5496" w:rsidP="00F83958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4C549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4C5496" w:rsidRDefault="004C5496" w:rsidP="00F83958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4C549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4C5496" w:rsidRDefault="004C5496" w:rsidP="00F83958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 w:rsidRPr="004C5496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 xml:space="preserve">Ең жоғары балл (мax) 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265EDC" w:rsidP="004C5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ПС:Condit</w:t>
            </w:r>
            <w:r w:rsidR="005F1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ionals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F1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Zero Conditional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F1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5F5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F1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onditional</w:t>
            </w:r>
            <w:r w:rsidR="005F5E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7C2FD7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ПС:Conditional-2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A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675">
              <w:rPr>
                <w:rFonts w:ascii="Times New Roman" w:hAnsi="Times New Roman" w:cs="Times New Roman"/>
                <w:sz w:val="24"/>
                <w:szCs w:val="24"/>
              </w:rPr>
              <w:t>Conditional-3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28D3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B3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</w:t>
            </w:r>
            <w:r w:rsidR="003C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for international relations students</w:t>
            </w:r>
          </w:p>
          <w:p w:rsidR="004C5496" w:rsidRPr="00EA41D4" w:rsidRDefault="001A28D3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</w:t>
            </w:r>
            <w:r w:rsidR="0070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 wee</w:t>
            </w:r>
            <w:r w:rsidR="00BF4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kly standart</w:t>
            </w:r>
            <w:r w:rsidR="003C28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F46AA" w:rsidRDefault="004C5496" w:rsidP="003E32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F4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for international relations students</w:t>
            </w:r>
          </w:p>
          <w:p w:rsidR="00EF46AA" w:rsidRPr="00EA41D4" w:rsidRDefault="00EF46AA" w:rsidP="003E3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«The weekly standart»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40</w:t>
            </w:r>
          </w:p>
        </w:tc>
      </w:tr>
      <w:tr w:rsidR="004C5496" w:rsidRPr="00EA41D4" w:rsidTr="00EF46AA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24648F" w:rsidRDefault="0024648F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6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4C5496" w:rsidRPr="002464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24648F" w:rsidP="00F83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1-</w:t>
            </w:r>
            <w:r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4C5496" w:rsidRPr="00EA41D4" w:rsidTr="00EF46AA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F3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sequence of Tenses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D1047E" w:rsidP="00F83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ПС:The sequence</w:t>
            </w:r>
            <w:r w:rsidR="006619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of Tenses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Default="00B535A2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ПС:The sequence of Tenses</w:t>
            </w:r>
          </w:p>
          <w:p w:rsidR="00A16189" w:rsidRDefault="00A16189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D17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ӨЖ:Diplomatic Handbook</w:t>
            </w:r>
          </w:p>
          <w:p w:rsidR="00D170CF" w:rsidRPr="00EA41D4" w:rsidRDefault="00D170CF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ОСӨЖ:Diplomatic Handbook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01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sequence of Tenses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5496" w:rsidRPr="00EA41D4" w:rsidRDefault="0021156A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sequence of Tenses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70C0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82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for international relations students</w:t>
            </w:r>
          </w:p>
          <w:p w:rsidR="004C5496" w:rsidRPr="00EA41D4" w:rsidRDefault="001F70C0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05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wee</w:t>
            </w:r>
            <w:r w:rsidR="00FF6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kly standart»</w:t>
            </w:r>
          </w:p>
          <w:p w:rsidR="004C5496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52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for international relations students</w:t>
            </w:r>
          </w:p>
          <w:p w:rsidR="0045264F" w:rsidRDefault="0045264F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«The weekly standart</w:t>
            </w:r>
            <w:r w:rsidR="000B4B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B4BDD" w:rsidRPr="00EA41D4" w:rsidRDefault="000B4BDD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</w:tr>
      <w:tr w:rsidR="004C5496" w:rsidRPr="00EA41D4" w:rsidTr="00EF46AA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24648F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6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4C5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24648F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6-10</w:t>
            </w:r>
            <w:r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4C5496" w:rsidRPr="00EA41D4" w:rsidTr="00EF46AA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B4B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Complex Ob</w:t>
            </w:r>
            <w:r w:rsidR="000F0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ject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F0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Complex Object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Default="00EC01DF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ПС:Complex Object</w:t>
            </w:r>
          </w:p>
          <w:p w:rsidR="00DF7306" w:rsidRDefault="008F59F7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ОСӨЖ:</w:t>
            </w:r>
            <w:r w:rsidR="00A16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Diplomatic Handbook</w:t>
            </w:r>
          </w:p>
          <w:p w:rsidR="00A16189" w:rsidRPr="00EA41D4" w:rsidRDefault="00A16189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СӨЖ:Diplomatic Handbook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5496" w:rsidRDefault="00EC01DF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Complex Object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C5496" w:rsidRPr="00EA41D4" w:rsidRDefault="00453E2C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Diplomatic Handbook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1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C5496" w:rsidRDefault="00453E2C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Complex Object</w:t>
            </w:r>
          </w:p>
          <w:p w:rsidR="004C5496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5496" w:rsidRPr="004C5496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Diplomatic Handbook</w:t>
            </w: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</w:t>
            </w:r>
            <w:r w:rsidRPr="00EA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53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Diplomatic Han</w:t>
            </w:r>
            <w:r w:rsidR="00CD04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dbook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</w:t>
            </w: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20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24648F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64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="004C54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EA41D4" w:rsidRDefault="004C5496" w:rsidP="00F83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4648F"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Қорытынды</w:t>
            </w:r>
            <w:r w:rsidR="0024648F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11-1</w:t>
            </w:r>
            <w:r w:rsidR="0024648F" w:rsidRPr="00C5118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5 апт</w:t>
            </w:r>
            <w:r w:rsidR="00112939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100</w:t>
            </w:r>
          </w:p>
        </w:tc>
      </w:tr>
      <w:tr w:rsidR="004C5496" w:rsidRPr="00EA41D4" w:rsidTr="00EF46AA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152847" w:rsidRDefault="00152847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152847" w:rsidRDefault="00152847" w:rsidP="00F83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1-15 апта аралығында </w:t>
            </w:r>
            <w:r w:rsidR="004C5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C5496" w:rsidRPr="00EA41D4" w:rsidTr="00EF46AA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152847" w:rsidRDefault="00152847" w:rsidP="00F839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575A0A" w:rsidRDefault="004C5496" w:rsidP="00F8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496" w:rsidRPr="00FA79F2" w:rsidRDefault="004C5496" w:rsidP="00F839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A79F2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sz w:val="24"/>
          <w:szCs w:val="24"/>
          <w:lang w:val="kk-KZ"/>
        </w:rPr>
        <w:t xml:space="preserve">      Факультет әдістеме бюросының</w:t>
      </w: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sz w:val="24"/>
          <w:szCs w:val="24"/>
          <w:lang w:val="kk-KZ"/>
        </w:rPr>
        <w:t xml:space="preserve">      төрайымы                                                                                                      Г.А. Мәшімбаева</w:t>
      </w: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sz w:val="24"/>
          <w:szCs w:val="24"/>
          <w:lang w:val="kk-KZ"/>
        </w:rPr>
        <w:t xml:space="preserve">      Кафедра меңгерушісі                                                                                   А.С. Сейдикенова</w:t>
      </w: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85AA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Аға оқытушы                                                                                                 А</w:t>
      </w:r>
      <w:r w:rsidR="00BD0B27">
        <w:rPr>
          <w:rFonts w:ascii="Times New Roman" w:hAnsi="Times New Roman" w:cs="Times New Roman"/>
          <w:color w:val="FF0000"/>
          <w:sz w:val="24"/>
          <w:szCs w:val="24"/>
          <w:lang w:val="kk-KZ"/>
        </w:rPr>
        <w:t>.Ш.Муртаза</w:t>
      </w: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260B" w:rsidRPr="00A85AAF" w:rsidRDefault="0045260B" w:rsidP="00452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34247" w:rsidRDefault="00F34247"/>
    <w:sectPr w:rsidR="00F34247" w:rsidSect="00614615">
      <w:pgSz w:w="11906" w:h="16838"/>
      <w:pgMar w:top="907" w:right="737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1E66"/>
    <w:multiLevelType w:val="hybridMultilevel"/>
    <w:tmpl w:val="CE8438BA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4556"/>
    <w:multiLevelType w:val="hybridMultilevel"/>
    <w:tmpl w:val="73421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0B"/>
    <w:rsid w:val="00033196"/>
    <w:rsid w:val="0003387A"/>
    <w:rsid w:val="0005253D"/>
    <w:rsid w:val="00082080"/>
    <w:rsid w:val="000A1158"/>
    <w:rsid w:val="000B4BDD"/>
    <w:rsid w:val="000E0E1C"/>
    <w:rsid w:val="000F0D03"/>
    <w:rsid w:val="00112939"/>
    <w:rsid w:val="00130A84"/>
    <w:rsid w:val="00146FAE"/>
    <w:rsid w:val="00152847"/>
    <w:rsid w:val="0019280A"/>
    <w:rsid w:val="001A28D3"/>
    <w:rsid w:val="001B5579"/>
    <w:rsid w:val="001F70C0"/>
    <w:rsid w:val="0021003B"/>
    <w:rsid w:val="0021156A"/>
    <w:rsid w:val="0024648F"/>
    <w:rsid w:val="00265EDC"/>
    <w:rsid w:val="00292907"/>
    <w:rsid w:val="002C7AAF"/>
    <w:rsid w:val="002F0BD7"/>
    <w:rsid w:val="003079B8"/>
    <w:rsid w:val="003349B5"/>
    <w:rsid w:val="003A335E"/>
    <w:rsid w:val="003C285A"/>
    <w:rsid w:val="003F3AA8"/>
    <w:rsid w:val="00415D36"/>
    <w:rsid w:val="0042659B"/>
    <w:rsid w:val="00451053"/>
    <w:rsid w:val="0045260B"/>
    <w:rsid w:val="0045264F"/>
    <w:rsid w:val="00453E2C"/>
    <w:rsid w:val="0049418E"/>
    <w:rsid w:val="004C5496"/>
    <w:rsid w:val="005D5497"/>
    <w:rsid w:val="005E00DD"/>
    <w:rsid w:val="005F1E44"/>
    <w:rsid w:val="005F5E88"/>
    <w:rsid w:val="00617E6E"/>
    <w:rsid w:val="0066197E"/>
    <w:rsid w:val="00667E36"/>
    <w:rsid w:val="00676A10"/>
    <w:rsid w:val="006A7D3B"/>
    <w:rsid w:val="006F3F42"/>
    <w:rsid w:val="00707CF7"/>
    <w:rsid w:val="00747C6A"/>
    <w:rsid w:val="007B3DAD"/>
    <w:rsid w:val="007C2FD7"/>
    <w:rsid w:val="008030AB"/>
    <w:rsid w:val="00803232"/>
    <w:rsid w:val="00833921"/>
    <w:rsid w:val="00854675"/>
    <w:rsid w:val="00861785"/>
    <w:rsid w:val="00874DB9"/>
    <w:rsid w:val="008A4F29"/>
    <w:rsid w:val="008F59F7"/>
    <w:rsid w:val="009112D7"/>
    <w:rsid w:val="00925E42"/>
    <w:rsid w:val="00954599"/>
    <w:rsid w:val="009D79B6"/>
    <w:rsid w:val="009F008D"/>
    <w:rsid w:val="00A0443B"/>
    <w:rsid w:val="00A14FA5"/>
    <w:rsid w:val="00A16189"/>
    <w:rsid w:val="00A32467"/>
    <w:rsid w:val="00AC2418"/>
    <w:rsid w:val="00AC2A35"/>
    <w:rsid w:val="00AF27FC"/>
    <w:rsid w:val="00B276D5"/>
    <w:rsid w:val="00B322B9"/>
    <w:rsid w:val="00B535A2"/>
    <w:rsid w:val="00BD0B27"/>
    <w:rsid w:val="00BF40EF"/>
    <w:rsid w:val="00C05F43"/>
    <w:rsid w:val="00C3297C"/>
    <w:rsid w:val="00C97A22"/>
    <w:rsid w:val="00CA590C"/>
    <w:rsid w:val="00CD044C"/>
    <w:rsid w:val="00CE6DBE"/>
    <w:rsid w:val="00D01EF5"/>
    <w:rsid w:val="00D1047E"/>
    <w:rsid w:val="00D13669"/>
    <w:rsid w:val="00D170CF"/>
    <w:rsid w:val="00D24EC1"/>
    <w:rsid w:val="00D72AA7"/>
    <w:rsid w:val="00DB7231"/>
    <w:rsid w:val="00DF3892"/>
    <w:rsid w:val="00DF7306"/>
    <w:rsid w:val="00E054DD"/>
    <w:rsid w:val="00E15EE3"/>
    <w:rsid w:val="00EC01DF"/>
    <w:rsid w:val="00EF173D"/>
    <w:rsid w:val="00EF46AA"/>
    <w:rsid w:val="00F34247"/>
    <w:rsid w:val="00FB2679"/>
    <w:rsid w:val="00FC009C"/>
    <w:rsid w:val="00FC66F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8AB8D-C76E-6342-A5FA-1E514A4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0B"/>
    <w:pPr>
      <w:ind w:left="720"/>
      <w:contextualSpacing/>
    </w:pPr>
  </w:style>
  <w:style w:type="paragraph" w:customStyle="1" w:styleId="Default">
    <w:name w:val="Default"/>
    <w:rsid w:val="00452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5260B"/>
    <w:rPr>
      <w:b/>
      <w:bCs/>
    </w:rPr>
  </w:style>
  <w:style w:type="table" w:styleId="a5">
    <w:name w:val="Table Grid"/>
    <w:basedOn w:val="a1"/>
    <w:uiPriority w:val="59"/>
    <w:rsid w:val="004526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45260B"/>
    <w:rPr>
      <w:color w:val="0000FF" w:themeColor="hyperlink"/>
      <w:u w:val="single"/>
    </w:rPr>
  </w:style>
  <w:style w:type="paragraph" w:customStyle="1" w:styleId="bodytext">
    <w:name w:val="bodytext"/>
    <w:basedOn w:val="a"/>
    <w:rsid w:val="0045260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4791</Characters>
  <Application>Microsoft Office Word</Application>
  <DocSecurity>0</DocSecurity>
  <Lines>39</Lines>
  <Paragraphs>11</Paragraphs>
  <ScaleCrop>false</ScaleCrop>
  <Company>Grizli777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murtaza.alma@mail.ru</cp:lastModifiedBy>
  <cp:revision>2</cp:revision>
  <dcterms:created xsi:type="dcterms:W3CDTF">2020-01-21T04:12:00Z</dcterms:created>
  <dcterms:modified xsi:type="dcterms:W3CDTF">2020-01-21T04:12:00Z</dcterms:modified>
</cp:coreProperties>
</file>